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napToGrid w:val="false"/>
        <w:spacing w:lineRule="auto" w:line="276" w:before="0" w:after="200"/>
        <w:jc w:val="center"/>
        <w:rPr>
          <w:rFonts w:ascii="Calibri" w:hAnsi="Calibri" w:eastAsia="Calibri"/>
          <w:sz w:val="18"/>
          <w:szCs w:val="18"/>
          <w:lang w:eastAsia="en-US"/>
        </w:rPr>
      </w:pPr>
      <w:bookmarkStart w:id="0" w:name="_GoBack"/>
      <w:bookmarkEnd w:id="0"/>
      <w:r>
        <w:rPr/>
        <w:drawing>
          <wp:inline distT="0" distB="0" distL="0" distR="0">
            <wp:extent cx="414655" cy="4064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before="0" w:after="120"/>
        <w:jc w:val="center"/>
        <w:rPr>
          <w:b/>
          <w:b/>
        </w:rPr>
      </w:pPr>
      <w:r>
        <w:rPr>
          <w:b/>
        </w:rPr>
        <w:t>МИНИСТЕРСТВО ТРУДА И СОЦИАЛЬНОЙ ЗАЩИТЫ НАСЕЛЕНИЯ СТАВРОПОЛЬСКОГО КРАЯ</w:t>
      </w:r>
    </w:p>
    <w:p>
      <w:pPr>
        <w:pStyle w:val="Normal"/>
        <w:suppressAutoHyphens w:val="false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before="0" w:after="120"/>
        <w:jc w:val="center"/>
        <w:rPr/>
      </w:pPr>
      <w:r>
        <w:rPr/>
        <w:t>ГОСУДАРСТВЕННОЕ БЮДЖЕТНОЕ УЧРЕЖДЕНИЕ СОЦИАЛЬНОГО ОБСЛУЖИВАНИЯ НАСЕЛЕНИЯ</w:t>
      </w:r>
    </w:p>
    <w:p>
      <w:pPr>
        <w:pStyle w:val="Normal"/>
        <w:suppressAutoHyphens w:val="false"/>
        <w:spacing w:before="0" w:after="120"/>
        <w:jc w:val="center"/>
        <w:rPr/>
      </w:pPr>
      <w:r>
        <w:rPr/>
        <w:t>«ПРЕДГОРНЫЙ КОМПЛЕКСНЫЙ ЦЕНТР СОЦИАЛЬНОГО ОБСЛУЖИВАНИЯ НАСЕЛЕНИЯ»</w:t>
      </w:r>
    </w:p>
    <w:p>
      <w:pPr>
        <w:pStyle w:val="Normal"/>
        <w:suppressAutoHyphens w:val="false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suppressAutoHyphens w:val="false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«27»декабря 2022 г.                   ст.Ессентукская                              № 597</w:t>
      </w:r>
    </w:p>
    <w:p>
      <w:pPr>
        <w:pStyle w:val="S3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01.01.2023 г. вступают в силу очередные стандарты бухгалтерского учета, изменения и дополнения в «Единый план счетов бухгалтерского учета и Инструкции по его применению», утвержденными приказом Министерства Финансов Российской Федерации от 01.12.2010г. № 157н, «План счетов бухгалтерского учета бюджетных учреждений и Инструкцией по его применению», в приказ Министерства Финансов Российской Приказ Минфина РФ от 25 марта 2011 г. N 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приказ Министерства Финансов от 15.04.2021 №61н с дополнениями.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этой связи приказываю: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учетную политику для целей бухгалтерского учета, утвержденную приказом директора от 27.12.2018г. №03-1-655, согласно приложению №1 к настоящему приказу.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2. Внесенные изменения действуют при формировании объектов учета с 01.01.2023г.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Ознакомить с настоящим Приказом всех сотрудников учреждения, имеющих отношение к учетному процессу.</w:t>
      </w:r>
    </w:p>
    <w:p>
      <w:pPr>
        <w:pStyle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3. Контроль, за исполнением настоящего приказа возложить на </w:t>
      </w:r>
      <w:r>
        <w:rPr>
          <w:rStyle w:val="Printable"/>
          <w:rFonts w:cs="Times New Roman" w:ascii="Times New Roman" w:hAnsi="Times New Roman"/>
          <w:sz w:val="28"/>
          <w:szCs w:val="28"/>
        </w:rPr>
        <w:t>главного бухгалтера.</w:t>
      </w:r>
    </w:p>
    <w:p>
      <w:pPr>
        <w:pStyle w:val="Normal"/>
        <w:suppressAutoHyphens w:val="false"/>
        <w:spacing w:lineRule="auto" w:line="276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организацию ведения бухгалтерского учета, в том числе за организацию хранения учетных документов, оставляю за собой.</w:t>
      </w:r>
    </w:p>
    <w:p>
      <w:pPr>
        <w:pStyle w:val="Normal"/>
        <w:suppressAutoHyphens w:val="false"/>
        <w:spacing w:before="0" w:after="120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Директор                                       Н. Д. Донская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Сафиуллаева Н.А.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Попова Л.А.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Заместитель главного бухгалтера                                             Никифорова О.С.</w:t>
      </w:r>
    </w:p>
    <w:p>
      <w:pPr>
        <w:pStyle w:val="Normal"/>
        <w:tabs>
          <w:tab w:val="clear" w:pos="708"/>
          <w:tab w:val="left" w:pos="7224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Вихлянцева И.В.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Гарнцева А.И.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                                                     Мищенко С.А. </w:t>
      </w:r>
    </w:p>
    <w:p>
      <w:pPr>
        <w:pStyle w:val="Normal"/>
        <w:tabs>
          <w:tab w:val="clear" w:pos="708"/>
          <w:tab w:val="left" w:pos="7248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Мокрушина К.А.</w:t>
      </w:r>
    </w:p>
    <w:p>
      <w:pPr>
        <w:pStyle w:val="Normal"/>
        <w:tabs>
          <w:tab w:val="clear" w:pos="708"/>
          <w:tab w:val="left" w:pos="7248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Афанасова А.В.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Тащук Е.А.</w:t>
      </w:r>
    </w:p>
    <w:p>
      <w:pPr>
        <w:pStyle w:val="Normal"/>
        <w:tabs>
          <w:tab w:val="clear" w:pos="708"/>
          <w:tab w:val="left" w:pos="7260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Гринько И.С.</w:t>
      </w:r>
    </w:p>
    <w:p>
      <w:pPr>
        <w:pStyle w:val="Normal"/>
        <w:tabs>
          <w:tab w:val="clear" w:pos="708"/>
          <w:tab w:val="left" w:pos="7260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Кайшева В.С.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СОГЛАСОВАНО: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</w:t>
        <w:tab/>
        <w:t>Н.В.Кравцова      27.12.2022 г.</w:t>
      </w:r>
    </w:p>
    <w:p>
      <w:pPr>
        <w:pStyle w:val="Normal"/>
        <w:tabs>
          <w:tab w:val="clear" w:pos="708"/>
          <w:tab w:val="left" w:pos="55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приказа подготовлен </w:t>
      </w:r>
    </w:p>
    <w:p>
      <w:pPr>
        <w:pStyle w:val="Normal"/>
        <w:tabs>
          <w:tab w:val="clear" w:pos="708"/>
          <w:tab w:val="left" w:pos="5585" w:leader="none"/>
        </w:tabs>
        <w:rPr>
          <w:sz w:val="28"/>
          <w:szCs w:val="28"/>
        </w:rPr>
      </w:pPr>
      <w:r>
        <w:rPr>
          <w:sz w:val="28"/>
          <w:szCs w:val="28"/>
        </w:rPr>
        <w:t>главным бухгалтером                                           Л.А. Попова        27.12.2022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Приложение №1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rPr/>
      </w:pPr>
      <w:r>
        <w:rPr/>
        <w:t xml:space="preserve">                                                                                    </w:t>
      </w:r>
      <w:r>
        <w:rPr/>
        <w:t>к приказу от 27.12.2022 г. № 597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учетную политику для целей бухгалтерского учета, утвержденную приказом директора от 27.12.2018г.№03-1-655.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Раздел 1 «Организация бухгалтерского учета»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Подпункт 1.5 дополнить положениями приказа Минфина от 15.04.2021 года №61н в части применения новых электронных форм на бумажном носителе.</w:t>
      </w:r>
    </w:p>
    <w:p>
      <w:pPr>
        <w:pStyle w:val="Normal"/>
        <w:suppressAutoHyphens w:val="false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Устанавливается следующее документальное оформление списания основных средств:</w:t>
      </w:r>
    </w:p>
    <w:p>
      <w:pPr>
        <w:pStyle w:val="Normal"/>
        <w:suppressAutoHyphens w:val="false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Актом о списании имущества установленной для данного основного средства формы;</w:t>
      </w:r>
    </w:p>
    <w:p>
      <w:pPr>
        <w:pStyle w:val="Normal"/>
        <w:suppressAutoHyphens w:val="false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 реализации мероприятий, предусмотренных Актом о списании имущества (согласование, демонтаж, утилизация, уничтожение), выведенные из эксплуатации основные средства учитываются на </w:t>
      </w:r>
      <w:r>
        <w:fldChar w:fldCharType="begin"/>
      </w:r>
      <w:r>
        <w:rPr>
          <w:sz w:val="28"/>
          <w:u w:val="single"/>
          <w:szCs w:val="28"/>
        </w:rPr>
        <w:instrText xml:space="preserve"> HYPERLINK "https://internet.garant.ru/" \l "/document/12180849/entry/2"</w:instrText>
      </w:r>
      <w:r>
        <w:rPr>
          <w:sz w:val="28"/>
          <w:u w:val="single"/>
          <w:szCs w:val="28"/>
        </w:rPr>
        <w:fldChar w:fldCharType="separate"/>
      </w:r>
      <w:r>
        <w:rPr>
          <w:sz w:val="28"/>
          <w:szCs w:val="28"/>
          <w:u w:val="single"/>
        </w:rPr>
        <w:t>забалансовом счете 02</w:t>
      </w:r>
      <w:r>
        <w:rPr>
          <w:sz w:val="28"/>
          <w:u w:val="single"/>
          <w:szCs w:val="28"/>
        </w:rPr>
        <w:fldChar w:fldCharType="end"/>
      </w:r>
      <w:r>
        <w:rPr>
          <w:sz w:val="28"/>
          <w:szCs w:val="28"/>
        </w:rPr>
        <w:t xml:space="preserve"> "Материальные ценности на хранении";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- по факту ликвидации объекта силами учреждения составляется Акт об утилизации (уничтожении) материальных ценностей (</w:t>
      </w:r>
      <w:r>
        <w:fldChar w:fldCharType="begin"/>
      </w:r>
      <w:r>
        <w:rPr>
          <w:sz w:val="28"/>
          <w:u w:val="single"/>
          <w:szCs w:val="28"/>
        </w:rPr>
        <w:instrText xml:space="preserve"> HYPERLINK "https://internet.garant.ru/" \l "/document/400766923/entry/2015"</w:instrText>
      </w:r>
      <w:r>
        <w:rPr>
          <w:sz w:val="28"/>
          <w:u w:val="single"/>
          <w:szCs w:val="28"/>
        </w:rPr>
        <w:fldChar w:fldCharType="separate"/>
      </w:r>
      <w:r>
        <w:rPr>
          <w:sz w:val="28"/>
          <w:szCs w:val="28"/>
          <w:u w:val="single"/>
        </w:rPr>
        <w:t>ф. 0510435</w:t>
      </w:r>
      <w:r>
        <w:rPr>
          <w:sz w:val="28"/>
          <w:u w:val="single"/>
          <w:szCs w:val="28"/>
        </w:rPr>
        <w:fldChar w:fldCharType="end"/>
      </w:r>
      <w:r>
        <w:rPr>
          <w:sz w:val="28"/>
          <w:szCs w:val="28"/>
        </w:rPr>
        <w:t>), к которому по решению Комиссии может быть приложен соответствующий фотоотчет;</w:t>
      </w:r>
    </w:p>
    <w:p>
      <w:pPr>
        <w:pStyle w:val="Normal"/>
        <w:suppressAutoHyphens w:val="false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по факту ликвидации с привлечением специализированной организации составляется Акт об утилизации (уничтожении) материальных ценностей (</w:t>
      </w:r>
      <w:r>
        <w:fldChar w:fldCharType="begin"/>
      </w:r>
      <w:r>
        <w:rPr>
          <w:sz w:val="28"/>
          <w:u w:val="single"/>
          <w:szCs w:val="28"/>
        </w:rPr>
        <w:instrText xml:space="preserve"> HYPERLINK "https://internet.garant.ru/" \l "/document/400766923/entry/2015"</w:instrText>
      </w:r>
      <w:r>
        <w:rPr>
          <w:sz w:val="28"/>
          <w:u w:val="single"/>
          <w:szCs w:val="28"/>
        </w:rPr>
        <w:fldChar w:fldCharType="separate"/>
      </w:r>
      <w:r>
        <w:rPr>
          <w:sz w:val="28"/>
          <w:szCs w:val="28"/>
          <w:u w:val="single"/>
        </w:rPr>
        <w:t>ф. 0510435</w:t>
      </w:r>
      <w:r>
        <w:rPr>
          <w:sz w:val="28"/>
          <w:u w:val="single"/>
          <w:szCs w:val="28"/>
        </w:rPr>
        <w:fldChar w:fldCharType="end"/>
      </w:r>
      <w:r>
        <w:rPr>
          <w:sz w:val="28"/>
          <w:szCs w:val="28"/>
        </w:rPr>
        <w:t>). Ликвидация подтверждается "Отчетом" соответствующей организации с указанием исполненных мероприятий: сдачи металлолома, драгметаллов, утилизации бытовых отходов и т.п.</w:t>
      </w:r>
    </w:p>
    <w:p>
      <w:pPr>
        <w:pStyle w:val="Normal"/>
        <w:suppressAutoHyphens w:val="false"/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(Основание: </w:t>
      </w:r>
      <w:r>
        <w:fldChar w:fldCharType="begin"/>
      </w:r>
      <w:r>
        <w:rPr>
          <w:sz w:val="22"/>
          <w:u w:val="single"/>
          <w:szCs w:val="22"/>
        </w:rPr>
        <w:instrText xml:space="preserve"> HYPERLINK "https://internet.garant.ru/" \l "/document/71589050/entry/1045"</w:instrText>
      </w:r>
      <w:r>
        <w:rPr>
          <w:sz w:val="22"/>
          <w:u w:val="single"/>
          <w:szCs w:val="22"/>
        </w:rPr>
        <w:fldChar w:fldCharType="separate"/>
      </w:r>
      <w:r>
        <w:rPr>
          <w:sz w:val="22"/>
          <w:szCs w:val="22"/>
          <w:u w:val="single"/>
        </w:rPr>
        <w:t>п. 45</w:t>
      </w:r>
      <w:r>
        <w:rPr>
          <w:sz w:val="22"/>
          <w:u w:val="single"/>
          <w:szCs w:val="22"/>
        </w:rPr>
        <w:fldChar w:fldCharType="end"/>
      </w:r>
      <w:r>
        <w:rPr>
          <w:sz w:val="22"/>
          <w:szCs w:val="22"/>
        </w:rPr>
        <w:t xml:space="preserve"> СГС "Основные средства", </w:t>
      </w:r>
      <w:r>
        <w:fldChar w:fldCharType="begin"/>
      </w:r>
      <w:r>
        <w:rPr>
          <w:sz w:val="22"/>
          <w:u w:val="single"/>
          <w:szCs w:val="22"/>
        </w:rPr>
        <w:instrText xml:space="preserve"> HYPERLINK "https://internet.garant.ru/" \l "/document/12180849/entry/2051"</w:instrText>
      </w:r>
      <w:r>
        <w:rPr>
          <w:sz w:val="22"/>
          <w:u w:val="single"/>
          <w:szCs w:val="22"/>
        </w:rPr>
        <w:fldChar w:fldCharType="separate"/>
      </w:r>
      <w:r>
        <w:rPr>
          <w:sz w:val="22"/>
          <w:szCs w:val="22"/>
          <w:u w:val="single"/>
        </w:rPr>
        <w:t>п.п. 51</w:t>
      </w:r>
      <w:r>
        <w:rPr>
          <w:sz w:val="22"/>
          <w:u w:val="single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fldChar w:fldCharType="begin"/>
      </w:r>
      <w:r>
        <w:rPr>
          <w:sz w:val="22"/>
          <w:u w:val="single"/>
          <w:szCs w:val="22"/>
        </w:rPr>
        <w:instrText xml:space="preserve"> HYPERLINK "https://internet.garant.ru/" \l "/document/12180849/entry/2335"</w:instrText>
      </w:r>
      <w:r>
        <w:rPr>
          <w:sz w:val="22"/>
          <w:u w:val="single"/>
          <w:szCs w:val="22"/>
        </w:rPr>
        <w:fldChar w:fldCharType="separate"/>
      </w:r>
      <w:r>
        <w:rPr>
          <w:sz w:val="22"/>
          <w:szCs w:val="22"/>
          <w:u w:val="single"/>
        </w:rPr>
        <w:t>335</w:t>
      </w:r>
      <w:r>
        <w:rPr>
          <w:sz w:val="22"/>
          <w:u w:val="single"/>
          <w:szCs w:val="22"/>
        </w:rPr>
        <w:fldChar w:fldCharType="end"/>
      </w:r>
      <w:r>
        <w:rPr>
          <w:sz w:val="22"/>
          <w:szCs w:val="22"/>
        </w:rPr>
        <w:t xml:space="preserve"> Инструкции N 157н)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Раздел 17 «Общие принципы ведения налогового учета»</w:t>
      </w:r>
    </w:p>
    <w:p>
      <w:pPr>
        <w:pStyle w:val="Normal"/>
        <w:suppressAutoHyphens w:val="false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пунктом  17.9 «В связи с началом применения единого налогового счета в учреждении предусматривается предоставление в налоговый орган распоряжения об исчисленных суммах налогов, авансовых платежей по налогам, сборам, страховых взносов, уплаченных  в качестве единого налогового платежа.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0f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intable" w:customStyle="1">
    <w:name w:val="printable"/>
    <w:basedOn w:val="DefaultParagraphFont"/>
    <w:qFormat/>
    <w:rsid w:val="001555d0"/>
    <w:rPr/>
  </w:style>
  <w:style w:type="character" w:styleId="Style14" w:customStyle="1">
    <w:name w:val="Основной текст Знак"/>
    <w:basedOn w:val="DefaultParagraphFont"/>
    <w:qFormat/>
    <w:rsid w:val="001555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1555d0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Hyperlink"/>
    <w:rsid w:val="001555d0"/>
    <w:rPr>
      <w:strike w:val="false"/>
      <w:dstrike w:val="false"/>
      <w:color w:val="000000"/>
      <w:u w:val="none"/>
      <w:effect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8">
    <w:name w:val="Body Text"/>
    <w:basedOn w:val="Normal"/>
    <w:link w:val="Style14"/>
    <w:rsid w:val="001555d0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1" w:customStyle="1">
    <w:name w:val="Обычный (веб)1"/>
    <w:basedOn w:val="Normal"/>
    <w:qFormat/>
    <w:rsid w:val="001555d0"/>
    <w:pPr>
      <w:spacing w:before="49" w:after="49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555d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5d0"/>
    <w:pPr>
      <w:spacing w:before="0" w:after="0"/>
      <w:ind w:left="720" w:hanging="0"/>
      <w:contextualSpacing/>
    </w:pPr>
    <w:rPr/>
  </w:style>
  <w:style w:type="paragraph" w:styleId="S3" w:customStyle="1">
    <w:name w:val="s_3"/>
    <w:basedOn w:val="Normal"/>
    <w:qFormat/>
    <w:rsid w:val="002b0442"/>
    <w:pPr>
      <w:suppressAutoHyphens w:val="false"/>
      <w:spacing w:beforeAutospacing="1" w:afterAutospacing="1"/>
    </w:pPr>
    <w:rPr/>
  </w:style>
  <w:style w:type="paragraph" w:styleId="S1" w:customStyle="1">
    <w:name w:val="s_1"/>
    <w:basedOn w:val="Normal"/>
    <w:qFormat/>
    <w:rsid w:val="00790fe4"/>
    <w:pPr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Application>LibreOffice/7.4.3.2$Linux_X86_64 LibreOffice_project/40$Build-2</Application>
  <AppVersion>15.0000</AppVersion>
  <Pages>3</Pages>
  <Words>453</Words>
  <Characters>3265</Characters>
  <CharactersWithSpaces>4819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2020-12-17T08:26:00Z</dcterms:created>
  <dc:creator>popova</dc:creator>
  <dc:description/>
  <dc:language>ru-RU</dc:language>
  <cp:lastModifiedBy/>
  <cp:lastPrinted>2022-12-27T06:34:00Z</cp:lastPrinted>
  <dcterms:modified xsi:type="dcterms:W3CDTF">2022-12-27T13:33:02Z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