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right"/>
      </w:pPr>
      <w:r>
        <w:rPr>
          <w:b w:val="false"/>
          <w:bCs w:val="false"/>
          <w:sz w:val="28"/>
          <w:szCs w:val="28"/>
        </w:rPr>
        <w:t>Приложение 1.4</w:t>
      </w:r>
    </w:p>
    <w:p>
      <w:pPr>
        <w:pStyle w:val="style0"/>
        <w:jc w:val="center"/>
      </w:pPr>
      <w:r>
        <w:rPr>
          <w:b/>
          <w:bCs/>
          <w:sz w:val="36"/>
          <w:szCs w:val="32"/>
        </w:rPr>
        <w:t xml:space="preserve">Методические рекомендации </w:t>
      </w:r>
    </w:p>
    <w:p>
      <w:pPr>
        <w:pStyle w:val="style0"/>
        <w:jc w:val="center"/>
      </w:pPr>
      <w:r>
        <w:rPr>
          <w:b/>
          <w:bCs/>
          <w:sz w:val="36"/>
          <w:szCs w:val="32"/>
        </w:rPr>
        <w:t>по реализации инновационной технологии развития профессиональных компетенций социальных и медицинских работников</w:t>
      </w:r>
    </w:p>
    <w:p>
      <w:pPr>
        <w:pStyle w:val="style0"/>
        <w:jc w:val="center"/>
      </w:pPr>
      <w:r>
        <w:rPr>
          <w:b/>
          <w:bCs/>
          <w:sz w:val="36"/>
          <w:szCs w:val="32"/>
        </w:rPr>
        <w:t>«Школа социального работника»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40"/>
        <w:spacing w:after="0" w:before="0"/>
        <w:ind w:firstLine="708" w:left="0" w:right="0"/>
        <w:contextualSpacing w:val="false"/>
        <w:jc w:val="both"/>
      </w:pPr>
      <w:r>
        <w:rPr>
          <w:sz w:val="28"/>
          <w:szCs w:val="28"/>
        </w:rPr>
        <w:t xml:space="preserve">Организация работы школы социального работника невозможна без тщательного планирования её деятельности. </w:t>
      </w:r>
    </w:p>
    <w:p>
      <w:pPr>
        <w:pStyle w:val="style40"/>
        <w:spacing w:after="0" w:before="0"/>
        <w:ind w:firstLine="708" w:left="0" w:right="0"/>
        <w:contextualSpacing w:val="false"/>
        <w:jc w:val="both"/>
      </w:pPr>
      <w:r>
        <w:rPr>
          <w:sz w:val="28"/>
          <w:szCs w:val="28"/>
        </w:rPr>
        <w:t>Для эффективного планирования, определения целей, задач и направлений работы Школы необходимо проведение диагностики основных проблем деятельности социальных и медицинских работников учреждения. Для этого группой специалистов была составлена анкета, позволяющая выявить преобладающий средний возраст работников, уровень их образования, стаж работы в системе социального обслуживания населения, степень профессиональной самооценки, мотивацию профессиональной деятельности, основные затруднения в деятельности работников, отношение к инновациям и т. д. Анализ анкетирования социальных и медицинских работников позволил выявить уровень основных профессиональных и психологических затруднений в деятельности работников и определить основные направления работы по развитию их профессиональных компетенций.</w:t>
      </w:r>
    </w:p>
    <w:p>
      <w:pPr>
        <w:pStyle w:val="style40"/>
        <w:spacing w:after="0" w:before="0"/>
        <w:ind w:firstLine="708" w:left="0" w:right="0"/>
        <w:contextualSpacing w:val="false"/>
        <w:jc w:val="both"/>
      </w:pPr>
      <w:r>
        <w:rPr>
          <w:sz w:val="28"/>
          <w:szCs w:val="28"/>
        </w:rPr>
        <w:t xml:space="preserve">В результате, опираясь на основные затруднения в деятельности работников, специалистами Центра была организована работа по составлению Программы Школы социального работника, которая отражает основные направлений развития профессиональных компетенций работников — слушателей Школы. </w:t>
      </w:r>
    </w:p>
    <w:p>
      <w:pPr>
        <w:pStyle w:val="style0"/>
        <w:ind w:firstLine="708" w:left="0" w:right="0"/>
        <w:jc w:val="both"/>
      </w:pPr>
      <w:r>
        <w:rPr/>
        <w:t xml:space="preserve">Программа Школы подверглась изучению специалистами, осуществляющими координацию и сопровождение деятельности отделений социального и социально-медицинского обслуживания на дому и в условиях стационарных отделений, специалистами Пятигорского филиала РГСУ, рассмотрена, утверждена и рекомендована к использованию на заседании методического совета Центра. </w:t>
      </w:r>
    </w:p>
    <w:p>
      <w:pPr>
        <w:pStyle w:val="style0"/>
        <w:ind w:firstLine="708" w:left="0" w:right="0"/>
        <w:jc w:val="both"/>
      </w:pPr>
      <w:r>
        <w:rPr/>
        <w:t xml:space="preserve">Все отделения социального и социально-медицинского обслуживания на дому были разделены на подгруппы по 30-35 человек, которые будут проходить обучение в Школе в определенном триместре. Всего в году планируется организация трех триместров обучения по три месяца. Каждую среду месяца предусмотрены три занятия по утвержденному расписанию  и мероприятия по реабилитации (ЛФК и музыкотерапия — обязательные и по желанию другие, реализующиеся на базе социально-оздоровительного отделения Центра.  </w:t>
      </w:r>
    </w:p>
    <w:p>
      <w:pPr>
        <w:pStyle w:val="style0"/>
        <w:ind w:firstLine="708" w:left="0" w:right="0"/>
        <w:jc w:val="both"/>
      </w:pPr>
      <w:r>
        <w:rPr/>
        <w:t xml:space="preserve">Администрацией центра утверждено расписание занятий, определен список лиц ответственных за проведение занятий в школе, заключен договор с Пятигорским филиалом РГСУ о безвозмездном оказании образовательных услуг. </w:t>
      </w:r>
    </w:p>
    <w:p>
      <w:pPr>
        <w:pStyle w:val="style0"/>
        <w:jc w:val="both"/>
      </w:pPr>
      <w:r>
        <w:rPr/>
        <w:tab/>
        <w:t>В Школе социального работника предусмотрены две формы организации обучения сотрудников: стационарная и выездная. Стационарные занятия проводятся в Центре социального обслуживания  согласно расписанию. Выездная форма позволяет охватить обучением социальных работников, обслуживающих население во всех населенных пунктах Предгорного района и  предполагает выезды в отделения Центра по месту расположения.</w:t>
      </w:r>
    </w:p>
    <w:p>
      <w:pPr>
        <w:pStyle w:val="style0"/>
        <w:jc w:val="both"/>
      </w:pPr>
      <w:r>
        <w:rPr/>
        <w:tab/>
        <w:t>Для повышения эффективности процесса формирования профессиональных компетенций на занятиях в Школе... ответственные лица за подготовку и проведение занятий по отдельным  темам должны предусмотреть демонстрационный и раздаточный материал, отражающий основное содержание занятия.</w:t>
      </w:r>
    </w:p>
    <w:p>
      <w:pPr>
        <w:pStyle w:val="style0"/>
        <w:jc w:val="both"/>
      </w:pPr>
      <w:r>
        <w:rPr/>
        <w:tab/>
        <w:t xml:space="preserve">Для учета посещаемости занятий слушателями разработан Журнал учета посещаемости занятий. </w:t>
      </w:r>
    </w:p>
    <w:p>
      <w:pPr>
        <w:pStyle w:val="style0"/>
        <w:jc w:val="both"/>
      </w:pPr>
      <w:r>
        <w:rPr/>
        <w:tab/>
        <w:t xml:space="preserve">Оценка знаний и умений слушателей недифференцированная: «освоено содержание программы» / «не освоено содержание программы». </w:t>
      </w:r>
    </w:p>
    <w:p>
      <w:pPr>
        <w:pStyle w:val="style0"/>
        <w:jc w:val="both"/>
      </w:pPr>
      <w:r>
        <w:rPr/>
        <w:tab/>
        <w:t xml:space="preserve">Из форм контроля за освоением содержания программы слушателями используются: практические работы, тестирование, зачет, семинарские занятия. По окончанию обучения проводится </w:t>
      </w:r>
      <w:r>
        <w:rPr>
          <w:lang w:eastAsia="ru-RU"/>
        </w:rPr>
        <w:t xml:space="preserve"> итоговое  тестирование (собеседование) слушателей по результатам которого выдаются сертификаты,</w:t>
      </w:r>
      <w:r>
        <w:rPr/>
        <w:t xml:space="preserve"> подтверждающие успешное освоение программы. Наличие сертификата об освоении программы Школы социального работника   является необходимым условием для последующей аттестации работников.</w:t>
      </w:r>
    </w:p>
    <w:p>
      <w:pPr>
        <w:pStyle w:val="style0"/>
        <w:ind w:firstLine="708" w:left="0" w:right="0"/>
        <w:jc w:val="both"/>
      </w:pPr>
      <w:r>
        <w:rPr/>
        <w:t>По окончанию обучения обучающимся предлагается итоговое анкетирование, целью которого является оценка слушателями организации деятельности «Школы социального работника» и выработка предложений по организации работы в дальнейшем.</w:t>
      </w:r>
    </w:p>
    <w:p>
      <w:pPr>
        <w:pStyle w:val="style0"/>
        <w:ind w:firstLine="708" w:left="0" w:right="0"/>
        <w:jc w:val="center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  <w:tab/>
      </w:r>
    </w:p>
    <w:p>
      <w:pPr>
        <w:pStyle w:val="style0"/>
        <w:jc w:val="both"/>
      </w:pPr>
      <w:r>
        <w:rPr/>
        <w:tab/>
        <w:tab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center"/>
      </w:pPr>
      <w:r>
        <w:rPr/>
      </w:r>
    </w:p>
    <w:sectPr>
      <w:footerReference r:id="rId2" w:type="default"/>
      <w:type w:val="nextPage"/>
      <w:pgSz w:h="16838" w:w="11906"/>
      <w:pgMar w:bottom="1456" w:footer="1134" w:gutter="0" w:header="0" w:left="1134" w:right="1134" w:top="1134"/>
      <w:pgNumType w:fmt="decimal"/>
      <w:formProt w:val="false"/>
      <w:textDirection w:val="lrTb"/>
      <w:docGrid w:charSpace="-8193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41"/>
      <w:jc w:val="right"/>
    </w:pPr>
    <w:r>
      <w:rPr/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</w:p>
</w:ftr>
</file>

<file path=word/settings.xml><?xml version="1.0" encoding="utf-8"?>
<w:settings xmlns:w="http://schemas.openxmlformats.org/wordprocessingml/2006/main">
  <w:zoom w:percent="89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  <w:spacing w:line="100" w:lineRule="atLeast"/>
    </w:pPr>
    <w:rPr>
      <w:rFonts w:ascii="Times New Roman" w:cs="Times New Roman" w:eastAsia="Times New Roman" w:hAnsi="Times New Roman"/>
      <w:color w:val="00000A"/>
      <w:sz w:val="28"/>
      <w:szCs w:val="28"/>
      <w:lang w:bidi="ar-SA" w:eastAsia="zh-CN" w:val="ru-RU"/>
    </w:rPr>
  </w:style>
  <w:style w:styleId="style15" w:type="character">
    <w:name w:val="Default Paragraph Font"/>
    <w:next w:val="style15"/>
    <w:rPr/>
  </w:style>
  <w:style w:styleId="style16" w:type="character">
    <w:name w:val="Текст выноски Знак"/>
    <w:basedOn w:val="style15"/>
    <w:next w:val="style16"/>
    <w:rPr>
      <w:rFonts w:ascii="Tahoma" w:cs="Tahoma" w:hAnsi="Tahoma"/>
      <w:sz w:val="16"/>
      <w:szCs w:val="16"/>
    </w:rPr>
  </w:style>
  <w:style w:styleId="style17" w:type="character">
    <w:name w:val="Body Text Char"/>
    <w:basedOn w:val="style15"/>
    <w:next w:val="style17"/>
    <w:rPr>
      <w:rFonts w:cs="Times New Roman"/>
    </w:rPr>
  </w:style>
  <w:style w:styleId="style18" w:type="character">
    <w:name w:val="Title Char"/>
    <w:basedOn w:val="style15"/>
    <w:next w:val="style18"/>
    <w:rPr>
      <w:rFonts w:ascii="Cambria" w:cs="Times New Roman" w:hAnsi="Cambria"/>
      <w:b/>
      <w:bCs/>
      <w:sz w:val="32"/>
      <w:szCs w:val="32"/>
    </w:rPr>
  </w:style>
  <w:style w:styleId="style19" w:type="character">
    <w:name w:val="Balloon Text Char"/>
    <w:basedOn w:val="style15"/>
    <w:next w:val="style19"/>
    <w:rPr>
      <w:rFonts w:ascii="Times New Roman" w:cs="Times New Roman" w:hAnsi="Times New Roman"/>
      <w:sz w:val="2"/>
    </w:rPr>
  </w:style>
  <w:style w:styleId="style20" w:type="character">
    <w:name w:val="ListLabel 1"/>
    <w:next w:val="style20"/>
    <w:rPr/>
  </w:style>
  <w:style w:styleId="style21" w:type="character">
    <w:name w:val="Body Text Char1"/>
    <w:basedOn w:val="style15"/>
    <w:next w:val="style21"/>
    <w:rPr/>
  </w:style>
  <w:style w:styleId="style22" w:type="character">
    <w:name w:val="Title Char1"/>
    <w:basedOn w:val="style15"/>
    <w:next w:val="style22"/>
    <w:rPr>
      <w:rFonts w:ascii="Cambria" w:cs="" w:hAnsi="Cambria"/>
      <w:b/>
      <w:bCs/>
      <w:sz w:val="32"/>
      <w:szCs w:val="32"/>
    </w:rPr>
  </w:style>
  <w:style w:styleId="style23" w:type="character">
    <w:name w:val="Subtitle Char"/>
    <w:basedOn w:val="style15"/>
    <w:next w:val="style23"/>
    <w:rPr>
      <w:rFonts w:ascii="Cambria" w:cs="" w:hAnsi="Cambria"/>
      <w:sz w:val="24"/>
      <w:szCs w:val="24"/>
    </w:rPr>
  </w:style>
  <w:style w:styleId="style24" w:type="character">
    <w:name w:val="Balloon Text Char1"/>
    <w:basedOn w:val="style15"/>
    <w:next w:val="style24"/>
    <w:rPr>
      <w:rFonts w:ascii="Times New Roman" w:hAnsi="Times New Roman"/>
      <w:sz w:val="0"/>
      <w:szCs w:val="0"/>
    </w:rPr>
  </w:style>
  <w:style w:styleId="style25" w:type="character">
    <w:name w:val="ListLabel 2"/>
    <w:next w:val="style25"/>
    <w:rPr>
      <w:rFonts w:cs="Times New Roman"/>
    </w:rPr>
  </w:style>
  <w:style w:styleId="style26" w:type="character">
    <w:name w:val="Маркеры списка"/>
    <w:next w:val="style26"/>
    <w:rPr>
      <w:rFonts w:ascii="OpenSymbol" w:cs="OpenSymbol" w:eastAsia="OpenSymbol" w:hAnsi="OpenSymbol"/>
    </w:rPr>
  </w:style>
  <w:style w:styleId="style27" w:type="paragraph">
    <w:name w:val="Заголовок"/>
    <w:basedOn w:val="style0"/>
    <w:next w:val="style28"/>
    <w:pPr>
      <w:keepNext/>
      <w:spacing w:after="120" w:before="240"/>
      <w:contextualSpacing w:val="false"/>
    </w:pPr>
    <w:rPr>
      <w:rFonts w:ascii="Arial" w:cs="Mangal" w:eastAsia="Droid Sans Fallback" w:hAnsi="Arial"/>
      <w:sz w:val="28"/>
      <w:szCs w:val="28"/>
    </w:rPr>
  </w:style>
  <w:style w:styleId="style28" w:type="paragraph">
    <w:name w:val="Основной текст"/>
    <w:basedOn w:val="style0"/>
    <w:next w:val="style28"/>
    <w:pPr>
      <w:spacing w:after="120" w:before="0"/>
      <w:contextualSpacing w:val="false"/>
    </w:pPr>
    <w:rPr/>
  </w:style>
  <w:style w:styleId="style29" w:type="paragraph">
    <w:name w:val="Список"/>
    <w:basedOn w:val="style28"/>
    <w:next w:val="style29"/>
    <w:pPr/>
    <w:rPr>
      <w:rFonts w:cs="Mangal"/>
    </w:rPr>
  </w:style>
  <w:style w:styleId="style30" w:type="paragraph">
    <w:name w:val="Название"/>
    <w:basedOn w:val="style0"/>
    <w:next w:val="style30"/>
    <w:pPr>
      <w:suppressLineNumbers/>
      <w:spacing w:after="120" w:before="120"/>
      <w:contextualSpacing w:val="false"/>
    </w:pPr>
    <w:rPr>
      <w:rFonts w:cs="FreeSans"/>
      <w:i/>
      <w:iCs/>
      <w:sz w:val="24"/>
      <w:szCs w:val="24"/>
    </w:rPr>
  </w:style>
  <w:style w:styleId="style31" w:type="paragraph">
    <w:name w:val="Указатель"/>
    <w:basedOn w:val="style0"/>
    <w:next w:val="style31"/>
    <w:pPr>
      <w:suppressLineNumbers/>
    </w:pPr>
    <w:rPr>
      <w:rFonts w:cs="FreeSans"/>
    </w:rPr>
  </w:style>
  <w:style w:styleId="style32" w:type="paragraph">
    <w:name w:val="Заглавие"/>
    <w:basedOn w:val="style0"/>
    <w:next w:val="style33"/>
    <w:pPr>
      <w:suppressLineNumbers/>
      <w:spacing w:after="120" w:before="120"/>
      <w:contextualSpacing w:val="false"/>
      <w:jc w:val="center"/>
    </w:pPr>
    <w:rPr>
      <w:rFonts w:cs="Mangal"/>
      <w:b/>
      <w:bCs/>
      <w:i/>
      <w:iCs/>
      <w:sz w:val="24"/>
      <w:szCs w:val="24"/>
    </w:rPr>
  </w:style>
  <w:style w:styleId="style33" w:type="paragraph">
    <w:name w:val="Подзаголовок"/>
    <w:basedOn w:val="style27"/>
    <w:next w:val="style28"/>
    <w:pPr>
      <w:jc w:val="center"/>
    </w:pPr>
    <w:rPr>
      <w:i/>
      <w:iCs/>
      <w:sz w:val="28"/>
      <w:szCs w:val="28"/>
    </w:rPr>
  </w:style>
  <w:style w:styleId="style34" w:type="paragraph">
    <w:name w:val="index 1"/>
    <w:basedOn w:val="style0"/>
    <w:next w:val="style34"/>
    <w:pPr>
      <w:ind w:hanging="220" w:left="220" w:right="0"/>
    </w:pPr>
    <w:rPr/>
  </w:style>
  <w:style w:styleId="style35" w:type="paragraph">
    <w:name w:val="index heading"/>
    <w:basedOn w:val="style0"/>
    <w:next w:val="style35"/>
    <w:pPr>
      <w:suppressLineNumbers/>
    </w:pPr>
    <w:rPr>
      <w:rFonts w:cs="Mangal"/>
    </w:rPr>
  </w:style>
  <w:style w:styleId="style36" w:type="paragraph">
    <w:name w:val="Balloon Text"/>
    <w:basedOn w:val="style0"/>
    <w:next w:val="style36"/>
    <w:pPr>
      <w:suppressAutoHyphens w:val="false"/>
    </w:pPr>
    <w:rPr>
      <w:rFonts w:ascii="Tahoma" w:cs="Calibri" w:hAnsi="Tahoma"/>
      <w:sz w:val="16"/>
      <w:szCs w:val="16"/>
      <w:lang w:eastAsia="en-US"/>
    </w:rPr>
  </w:style>
  <w:style w:styleId="style37" w:type="paragraph">
    <w:name w:val="List Paragraph"/>
    <w:basedOn w:val="style0"/>
    <w:next w:val="style37"/>
    <w:pPr>
      <w:spacing w:after="0" w:before="0"/>
      <w:ind w:hanging="0" w:left="720" w:right="0"/>
      <w:contextualSpacing/>
    </w:pPr>
    <w:rPr/>
  </w:style>
  <w:style w:styleId="style38" w:type="paragraph">
    <w:name w:val="Содержимое таблицы"/>
    <w:basedOn w:val="style0"/>
    <w:next w:val="style38"/>
    <w:pPr>
      <w:suppressLineNumbers/>
    </w:pPr>
    <w:rPr/>
  </w:style>
  <w:style w:styleId="style39" w:type="paragraph">
    <w:name w:val="Заголовок таблицы"/>
    <w:basedOn w:val="style38"/>
    <w:next w:val="style39"/>
    <w:pPr>
      <w:suppressLineNumbers/>
      <w:jc w:val="center"/>
    </w:pPr>
    <w:rPr>
      <w:b/>
      <w:bCs/>
    </w:rPr>
  </w:style>
  <w:style w:styleId="style40" w:type="paragraph">
    <w:name w:val="Normal (Web)"/>
    <w:basedOn w:val="style0"/>
    <w:next w:val="style40"/>
    <w:pPr>
      <w:spacing w:after="100" w:before="100"/>
      <w:contextualSpacing w:val="false"/>
    </w:pPr>
    <w:rPr>
      <w:sz w:val="24"/>
      <w:szCs w:val="24"/>
    </w:rPr>
  </w:style>
  <w:style w:styleId="style41" w:type="paragraph">
    <w:name w:val="Нижний колонтитул"/>
    <w:basedOn w:val="style0"/>
    <w:next w:val="style41"/>
    <w:pPr>
      <w:suppressLineNumbers/>
      <w:tabs>
        <w:tab w:leader="none" w:pos="4777" w:val="center"/>
        <w:tab w:leader="none" w:pos="9555" w:val="right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595</TotalTime>
  <Application>LibreOffice/3.6$Linux_x86 LibreOffice_project/360m1$Build-3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2012-12-03T08:30:00.00Z</dcterms:created>
  <dc:creator>Олег-Лена</dc:creator>
  <cp:lastModifiedBy>User</cp:lastModifiedBy>
  <cp:lastPrinted>2013-11-07T11:40:34.00Z</cp:lastPrinted>
  <dcterms:modified xsi:type="dcterms:W3CDTF">2012-12-13T07:15:00.00Z</dcterms:modified>
  <cp:revision>12</cp:revision>
</cp:coreProperties>
</file>